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7767" w14:textId="5EC0C9E2" w:rsidR="002C18B7" w:rsidRDefault="002C18B7" w:rsidP="002C18B7">
      <w:pPr>
        <w:pStyle w:val="2"/>
        <w:rPr>
          <w:color w:val="auto"/>
        </w:rPr>
      </w:pPr>
      <w:r>
        <w:t xml:space="preserve">АППАРАТ </w:t>
      </w:r>
      <w:r w:rsidR="0000194A">
        <w:t>Аэролейс НЕО</w:t>
      </w:r>
    </w:p>
    <w:p w14:paraId="77F44E85" w14:textId="77777777" w:rsidR="00737523" w:rsidRPr="00136E4E" w:rsidRDefault="00737523" w:rsidP="00737523">
      <w:pPr>
        <w:rPr>
          <w:lang w:eastAsia="ru-RU"/>
        </w:rPr>
      </w:pPr>
      <w:r>
        <w:rPr>
          <w:b/>
          <w:bCs/>
          <w:lang w:eastAsia="ru-RU"/>
        </w:rPr>
        <w:t>Аэролейс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p w14:paraId="767BC925" w14:textId="1EF6640C" w:rsidR="00352A45" w:rsidRPr="00AD4877" w:rsidRDefault="00737523" w:rsidP="00352A4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 НЕО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352A45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352A45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352A45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352A45">
        <w:rPr>
          <w:rFonts w:eastAsia="Times New Roman" w:cs="Times New Roman"/>
          <w:sz w:val="24"/>
          <w:szCs w:val="24"/>
          <w:lang w:eastAsia="ru-RU"/>
        </w:rPr>
        <w:t>и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52A45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352A45">
        <w:rPr>
          <w:rFonts w:eastAsia="Times New Roman" w:cs="Times New Roman"/>
          <w:sz w:val="24"/>
          <w:szCs w:val="24"/>
          <w:lang w:eastAsia="ru-RU"/>
        </w:rPr>
        <w:t>Д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52A45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352A45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352A45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3755542C" w14:textId="77777777" w:rsidR="002C18B7" w:rsidRDefault="002C18B7" w:rsidP="002C18B7">
      <w:pPr>
        <w:pStyle w:val="2"/>
      </w:pPr>
      <w:r>
        <w:t>ВЫБОР ПРОЦЕДУРЫ</w:t>
      </w:r>
    </w:p>
    <w:p w14:paraId="5F8AEAA8" w14:textId="77777777" w:rsidR="002C18B7" w:rsidRDefault="002C18B7" w:rsidP="002C18B7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Лечение можно проводить пациентам с любым типом кожи и на загорелой коже.</w:t>
      </w:r>
    </w:p>
    <w:p w14:paraId="6F592497" w14:textId="77777777" w:rsidR="002C18B7" w:rsidRDefault="002C18B7" w:rsidP="002C18B7">
      <w:pPr>
        <w:pStyle w:val="2"/>
      </w:pPr>
      <w:r>
        <w:t>ОБЗОР ПРОЦЕДУРЫ</w:t>
      </w:r>
    </w:p>
    <w:p w14:paraId="49DDB4D5" w14:textId="43EAF0B3" w:rsidR="002C18B7" w:rsidRDefault="002C18B7" w:rsidP="002C18B7">
      <w:r>
        <w:t xml:space="preserve">Механизм действия: энергия </w:t>
      </w:r>
      <w:r w:rsidR="00737523">
        <w:rPr>
          <w:rStyle w:val="a3"/>
        </w:rPr>
        <w:t>Аэролейс НЕО</w:t>
      </w:r>
      <w:r>
        <w:t xml:space="preserve"> c длинной волны </w:t>
      </w:r>
      <w:r>
        <w:rPr>
          <w:rStyle w:val="a3"/>
        </w:rPr>
        <w:t>1064 нм</w:t>
      </w:r>
      <w:r>
        <w:t xml:space="preserve"> поглощается меланином в стержне волоса и фолликуле, вызывая их нагрев и разрушение. Пациентов необходимо проинформировать, что очень хороший результат лазерной эпиляции достигается тогда, когда за каждый сеанс лечения обеспечивается примерно 15% очищения, и что отличный конечный результат очищения в объеме 80% или более после 6 процедур является исключительным согласно стандартам лазерной медицины. </w:t>
      </w:r>
      <w:r>
        <w:rPr>
          <w:rStyle w:val="a4"/>
        </w:rPr>
        <w:t>Они должны иметь реалистичные ожидания относительно результатов после каждого сеанса и финального результата, и не стоит ожидать 100% очищения в конечном итоге, так как это невозможно с медицинской точки зрения.</w:t>
      </w:r>
      <w:r>
        <w:t xml:space="preserve"> Даже если все настройки и методы применяются правильно, пациенты могут реагировать очень слабо или вообще не реагировать из-за недостаточного количества меланина в волосяных фолликулах, гормональных состояний или медицинских проблем. </w:t>
      </w:r>
      <w:r>
        <w:rPr>
          <w:rStyle w:val="a4"/>
        </w:rPr>
        <w:t>Специалист должен учесть проведение проверки после второй процедуры, чтобы убедиться с помощью фотоверификации в том, что удаление волос происходит с той же или похожей скоростью, как описано в данном документе; в противном случае пациент может отказаться от дальнейшего лечения.</w:t>
      </w:r>
    </w:p>
    <w:p w14:paraId="596F3282" w14:textId="01E5DDED" w:rsidR="002C18B7" w:rsidRDefault="00352A45" w:rsidP="002C18B7">
      <w:pPr>
        <w:pStyle w:val="2"/>
      </w:pPr>
      <w:r>
        <w:t>ПРЕИМУЩЕСТВА</w:t>
      </w:r>
      <w:r w:rsidR="002C18B7">
        <w:t xml:space="preserve"> ПРОЦЕДУРЫ</w:t>
      </w:r>
    </w:p>
    <w:p w14:paraId="626D8C48" w14:textId="77777777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Безоперационное воздействие;</w:t>
      </w:r>
    </w:p>
    <w:p w14:paraId="1FABA2D7" w14:textId="77777777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Возможность выбора между мягким и интенсивным методом;</w:t>
      </w:r>
    </w:p>
    <w:p w14:paraId="1692CF2D" w14:textId="77777777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1922A640" w14:textId="0EA252CA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r w:rsidR="00737523">
        <w:rPr>
          <w:rStyle w:val="a3"/>
        </w:rPr>
        <w:t>Аэролейс НЕО</w:t>
      </w:r>
      <w:r>
        <w:t>;</w:t>
      </w:r>
    </w:p>
    <w:p w14:paraId="6150A1DE" w14:textId="2720E363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Глубокое воздействие на кожу;</w:t>
      </w:r>
    </w:p>
    <w:p w14:paraId="6D5E9976" w14:textId="77777777" w:rsidR="002C18B7" w:rsidRDefault="002C18B7" w:rsidP="002C18B7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1C903DAE" w14:textId="77777777" w:rsidR="002C18B7" w:rsidRDefault="002C18B7" w:rsidP="002C18B7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Лазеры не действуют на волосы без меланина, такие как белые или седые волосы, а некоторые гормональные или медицинские состояния, включая, помимо прочего, гирсутизм или СПКЯ, могут ограничивать реакцию.</w:t>
      </w:r>
    </w:p>
    <w:p w14:paraId="649AF574" w14:textId="77777777" w:rsidR="002C18B7" w:rsidRDefault="002C18B7" w:rsidP="002C18B7">
      <w:pPr>
        <w:pStyle w:val="2"/>
      </w:pPr>
      <w:r>
        <w:t>ОБЩИЕ РЕКОМЕНДАЦИИ</w:t>
      </w:r>
    </w:p>
    <w:p w14:paraId="27C75AA7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25ED87A5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247989A7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lastRenderedPageBreak/>
        <w:t>Частоту повторений процедуры устанавливает врач.</w:t>
      </w:r>
    </w:p>
    <w:p w14:paraId="65A294CC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29333ABD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2D613C54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065429ED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65D9208B" w14:textId="4759AB30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Процедуры </w:t>
      </w:r>
      <w:r w:rsidR="00737523">
        <w:rPr>
          <w:rStyle w:val="a3"/>
        </w:rPr>
        <w:t>Аэролейс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r w:rsidR="00737523">
        <w:rPr>
          <w:rStyle w:val="a3"/>
        </w:rPr>
        <w:t>Аэролейс НЕО</w:t>
      </w:r>
      <w:r>
        <w:t>.</w:t>
      </w:r>
    </w:p>
    <w:p w14:paraId="55C25E38" w14:textId="77777777" w:rsidR="002C18B7" w:rsidRDefault="002C18B7" w:rsidP="002C18B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1CA56F80" w14:textId="77777777" w:rsidR="002C18B7" w:rsidRDefault="002C18B7" w:rsidP="002C18B7">
      <w:pPr>
        <w:pStyle w:val="2"/>
      </w:pPr>
      <w:r>
        <w:t>ПРОТИВОПОКАЗАНИЯ</w:t>
      </w:r>
    </w:p>
    <w:p w14:paraId="11B33D39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Беременные</w:t>
      </w:r>
    </w:p>
    <w:p w14:paraId="24405E45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546D3723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Татуировки</w:t>
      </w:r>
    </w:p>
    <w:p w14:paraId="7CE90AC9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134FAF64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7308583B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222DC586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50FF6358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Принимаете фотосенсибилизирующие препараты, такие как Акнекутан, следует проконсультироваться со своим дерматологом перед процедурами</w:t>
      </w:r>
    </w:p>
    <w:p w14:paraId="7093139D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55645669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0553D509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7C207A68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0504D435" w14:textId="77777777" w:rsidR="002C18B7" w:rsidRDefault="002C18B7" w:rsidP="002C18B7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254DA270" w14:textId="77777777" w:rsidR="002C18B7" w:rsidRDefault="002C18B7" w:rsidP="002C18B7">
      <w:pPr>
        <w:pStyle w:val="2"/>
      </w:pPr>
      <w:r>
        <w:t>УХОД ПОСЛЕ ПРОЦЕДУРЫ</w:t>
      </w:r>
    </w:p>
    <w:p w14:paraId="2E5D6A78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50CA57E2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7D9A4E37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23B7A15F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Для лечения сосудистых и пигментных поражений рекомендуется наносить Аквафор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56B68A0F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33DB4568" w14:textId="77777777" w:rsidR="002C18B7" w:rsidRDefault="002C18B7" w:rsidP="002C18B7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7E026618" w14:textId="77777777" w:rsidR="002C18B7" w:rsidRDefault="002C18B7" w:rsidP="002C18B7">
      <w:pPr>
        <w:pStyle w:val="2"/>
      </w:pPr>
      <w:r>
        <w:t>ВЫВОД</w:t>
      </w:r>
    </w:p>
    <w:p w14:paraId="3D139337" w14:textId="77777777" w:rsidR="002C18B7" w:rsidRDefault="002C18B7" w:rsidP="002C18B7">
      <w:r>
        <w:lastRenderedPageBreak/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459077F5" w14:textId="0FECB27C" w:rsidR="00FC5D41" w:rsidRPr="00947836" w:rsidRDefault="002C18B7" w:rsidP="002C18B7">
      <w:r>
        <w:t xml:space="preserve">Лазер </w:t>
      </w:r>
      <w:r w:rsidR="00737523">
        <w:rPr>
          <w:rStyle w:val="a3"/>
        </w:rPr>
        <w:t>Аэролейс НЕО</w:t>
      </w:r>
      <w:r>
        <w:t xml:space="preserve"> – это эффективный и безопасный способ вернуть коже молодость, свежесть и упругость.</w:t>
      </w:r>
    </w:p>
    <w:sectPr w:rsidR="00FC5D41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3BF"/>
    <w:multiLevelType w:val="multilevel"/>
    <w:tmpl w:val="D6F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C7C0B"/>
    <w:multiLevelType w:val="multilevel"/>
    <w:tmpl w:val="F84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47D6"/>
    <w:multiLevelType w:val="multilevel"/>
    <w:tmpl w:val="310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87381"/>
    <w:multiLevelType w:val="multilevel"/>
    <w:tmpl w:val="B3B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A0F7A"/>
    <w:multiLevelType w:val="multilevel"/>
    <w:tmpl w:val="EB3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E027F"/>
    <w:multiLevelType w:val="multilevel"/>
    <w:tmpl w:val="074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514ED"/>
    <w:multiLevelType w:val="multilevel"/>
    <w:tmpl w:val="F614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970FE"/>
    <w:multiLevelType w:val="multilevel"/>
    <w:tmpl w:val="43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AA5"/>
    <w:multiLevelType w:val="hybridMultilevel"/>
    <w:tmpl w:val="6F4A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383"/>
    <w:multiLevelType w:val="multilevel"/>
    <w:tmpl w:val="98F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C0202"/>
    <w:multiLevelType w:val="hybridMultilevel"/>
    <w:tmpl w:val="81C2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7267"/>
    <w:multiLevelType w:val="multilevel"/>
    <w:tmpl w:val="396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86ED6"/>
    <w:multiLevelType w:val="multilevel"/>
    <w:tmpl w:val="D4B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F25D9"/>
    <w:multiLevelType w:val="hybridMultilevel"/>
    <w:tmpl w:val="423A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87F08"/>
    <w:multiLevelType w:val="multilevel"/>
    <w:tmpl w:val="498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D5106"/>
    <w:multiLevelType w:val="hybridMultilevel"/>
    <w:tmpl w:val="1436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7987"/>
    <w:multiLevelType w:val="multilevel"/>
    <w:tmpl w:val="FB0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84F39"/>
    <w:multiLevelType w:val="multilevel"/>
    <w:tmpl w:val="E8BC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B752A"/>
    <w:multiLevelType w:val="multilevel"/>
    <w:tmpl w:val="28E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12418"/>
    <w:multiLevelType w:val="multilevel"/>
    <w:tmpl w:val="CBB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D3C89"/>
    <w:multiLevelType w:val="multilevel"/>
    <w:tmpl w:val="4BD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90F71"/>
    <w:multiLevelType w:val="multilevel"/>
    <w:tmpl w:val="2342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16141"/>
    <w:multiLevelType w:val="multilevel"/>
    <w:tmpl w:val="6A7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27AB9"/>
    <w:multiLevelType w:val="multilevel"/>
    <w:tmpl w:val="9A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7036B"/>
    <w:multiLevelType w:val="hybridMultilevel"/>
    <w:tmpl w:val="81C2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94F61"/>
    <w:multiLevelType w:val="multilevel"/>
    <w:tmpl w:val="E56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A1A3B"/>
    <w:multiLevelType w:val="multilevel"/>
    <w:tmpl w:val="F80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160B1"/>
    <w:multiLevelType w:val="multilevel"/>
    <w:tmpl w:val="7BBA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1623D"/>
    <w:multiLevelType w:val="multilevel"/>
    <w:tmpl w:val="FD36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255D73"/>
    <w:multiLevelType w:val="multilevel"/>
    <w:tmpl w:val="885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F7EFB"/>
    <w:multiLevelType w:val="multilevel"/>
    <w:tmpl w:val="768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E3F1A"/>
    <w:multiLevelType w:val="multilevel"/>
    <w:tmpl w:val="154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4D2777"/>
    <w:multiLevelType w:val="multilevel"/>
    <w:tmpl w:val="504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D25EB"/>
    <w:multiLevelType w:val="multilevel"/>
    <w:tmpl w:val="C62C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21470"/>
    <w:multiLevelType w:val="hybridMultilevel"/>
    <w:tmpl w:val="A76E9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403E"/>
    <w:multiLevelType w:val="multilevel"/>
    <w:tmpl w:val="980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1"/>
  </w:num>
  <w:num w:numId="5">
    <w:abstractNumId w:val="3"/>
  </w:num>
  <w:num w:numId="6">
    <w:abstractNumId w:val="23"/>
  </w:num>
  <w:num w:numId="7">
    <w:abstractNumId w:val="7"/>
  </w:num>
  <w:num w:numId="8">
    <w:abstractNumId w:val="32"/>
  </w:num>
  <w:num w:numId="9">
    <w:abstractNumId w:val="4"/>
  </w:num>
  <w:num w:numId="10">
    <w:abstractNumId w:val="27"/>
  </w:num>
  <w:num w:numId="11">
    <w:abstractNumId w:val="30"/>
  </w:num>
  <w:num w:numId="12">
    <w:abstractNumId w:val="16"/>
  </w:num>
  <w:num w:numId="13">
    <w:abstractNumId w:val="24"/>
  </w:num>
  <w:num w:numId="14">
    <w:abstractNumId w:val="10"/>
  </w:num>
  <w:num w:numId="15">
    <w:abstractNumId w:val="15"/>
  </w:num>
  <w:num w:numId="16">
    <w:abstractNumId w:val="34"/>
  </w:num>
  <w:num w:numId="17">
    <w:abstractNumId w:val="8"/>
  </w:num>
  <w:num w:numId="18">
    <w:abstractNumId w:val="13"/>
  </w:num>
  <w:num w:numId="19">
    <w:abstractNumId w:val="18"/>
  </w:num>
  <w:num w:numId="20">
    <w:abstractNumId w:val="0"/>
  </w:num>
  <w:num w:numId="21">
    <w:abstractNumId w:val="19"/>
  </w:num>
  <w:num w:numId="22">
    <w:abstractNumId w:val="35"/>
  </w:num>
  <w:num w:numId="23">
    <w:abstractNumId w:val="1"/>
  </w:num>
  <w:num w:numId="24">
    <w:abstractNumId w:val="2"/>
  </w:num>
  <w:num w:numId="25">
    <w:abstractNumId w:val="9"/>
  </w:num>
  <w:num w:numId="26">
    <w:abstractNumId w:val="29"/>
  </w:num>
  <w:num w:numId="27">
    <w:abstractNumId w:val="14"/>
  </w:num>
  <w:num w:numId="28">
    <w:abstractNumId w:val="33"/>
  </w:num>
  <w:num w:numId="29">
    <w:abstractNumId w:val="26"/>
  </w:num>
  <w:num w:numId="30">
    <w:abstractNumId w:val="21"/>
  </w:num>
  <w:num w:numId="31">
    <w:abstractNumId w:val="22"/>
  </w:num>
  <w:num w:numId="32">
    <w:abstractNumId w:val="25"/>
  </w:num>
  <w:num w:numId="33">
    <w:abstractNumId w:val="17"/>
  </w:num>
  <w:num w:numId="34">
    <w:abstractNumId w:val="6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00194A"/>
    <w:rsid w:val="002C18B7"/>
    <w:rsid w:val="00352A45"/>
    <w:rsid w:val="003671B6"/>
    <w:rsid w:val="003A3902"/>
    <w:rsid w:val="00737523"/>
    <w:rsid w:val="007D0413"/>
    <w:rsid w:val="007E34AE"/>
    <w:rsid w:val="00947836"/>
    <w:rsid w:val="009F1C87"/>
    <w:rsid w:val="00A35E0F"/>
    <w:rsid w:val="00AD4877"/>
    <w:rsid w:val="00DF0540"/>
    <w:rsid w:val="00E246B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5AB22271-2C00-4CB0-94E4-3B40CE6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523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2026-03-26T09:12:00Z</dcterms:created>
  <dcterms:modified xsi:type="dcterms:W3CDTF">2026-04-20T12:53:00Z</dcterms:modified>
</cp:coreProperties>
</file>